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7C5C" w14:textId="77777777" w:rsidR="001E3EF1" w:rsidRPr="00FE7C85" w:rsidRDefault="001E3EF1" w:rsidP="00FE7C85">
      <w:pPr>
        <w:pStyle w:val="Heading1"/>
      </w:pPr>
      <w:r w:rsidRPr="00FE7C85">
        <w:t>Budget Justification</w:t>
      </w:r>
    </w:p>
    <w:p w14:paraId="6204C450" w14:textId="77777777" w:rsidR="001E3EF1" w:rsidRPr="00AA67C2" w:rsidRDefault="001E3EF1" w:rsidP="00FE7C85"/>
    <w:p w14:paraId="6BEC2AAB" w14:textId="77777777" w:rsidR="001E3EF1" w:rsidRPr="00FE7C85" w:rsidRDefault="001E3EF1" w:rsidP="00FE7C85">
      <w:pPr>
        <w:pStyle w:val="Heading2"/>
      </w:pPr>
      <w:r w:rsidRPr="00FE7C85">
        <w:t>Senior Personnel:</w:t>
      </w:r>
    </w:p>
    <w:p w14:paraId="68F4D78E" w14:textId="201A77B9" w:rsidR="001E3EF1" w:rsidRPr="00AA67C2" w:rsidRDefault="001E3EF1" w:rsidP="00FE7C85"/>
    <w:p w14:paraId="326FB4B9" w14:textId="77777777" w:rsidR="00641BBD" w:rsidRPr="00AA67C2" w:rsidRDefault="00641BBD" w:rsidP="00FE7C85"/>
    <w:p w14:paraId="152FD2E4" w14:textId="77777777" w:rsidR="001E3EF1" w:rsidRPr="00AA67C2" w:rsidRDefault="001E3EF1" w:rsidP="00FE7C85">
      <w:pPr>
        <w:pStyle w:val="Heading2"/>
      </w:pPr>
      <w:r w:rsidRPr="00AA67C2">
        <w:t>Other Personnel:</w:t>
      </w:r>
    </w:p>
    <w:p w14:paraId="58B86140" w14:textId="77777777" w:rsidR="00641BBD" w:rsidRPr="00AA67C2" w:rsidRDefault="00641BBD" w:rsidP="00FE7C85">
      <w:bookmarkStart w:id="0" w:name="_Hlk497305206"/>
    </w:p>
    <w:p w14:paraId="70A616C6" w14:textId="77777777" w:rsidR="00641BBD" w:rsidRPr="00AA67C2" w:rsidRDefault="00641BBD" w:rsidP="00FE7C85"/>
    <w:p w14:paraId="41E73F04" w14:textId="3477BD4E" w:rsidR="001E3EF1" w:rsidRPr="00AA67C2" w:rsidRDefault="001E3EF1" w:rsidP="00FE7C85">
      <w:pPr>
        <w:pStyle w:val="Heading2"/>
      </w:pPr>
      <w:r w:rsidRPr="00AA67C2">
        <w:t>Fringe Benefits:</w:t>
      </w:r>
    </w:p>
    <w:p w14:paraId="016557A2" w14:textId="1C861774" w:rsidR="00BA54A7" w:rsidRDefault="00EC56B7" w:rsidP="00FE7C85">
      <w:bookmarkStart w:id="1" w:name="_Hlk506275216"/>
      <w:bookmarkEnd w:id="0"/>
      <w:r w:rsidRPr="00EC56B7">
        <w:t xml:space="preserve">At the University of Oklahoma (OU), the current fringe benefits rates as negotiated with </w:t>
      </w:r>
      <w:r w:rsidR="00676164" w:rsidRPr="00EC56B7">
        <w:t>DHHS</w:t>
      </w:r>
      <w:r w:rsidRPr="00EC56B7">
        <w:t xml:space="preserve"> are: </w:t>
      </w:r>
      <w:r w:rsidR="00F11AB3">
        <w:t>3</w:t>
      </w:r>
      <w:r w:rsidR="00250106">
        <w:t>5</w:t>
      </w:r>
      <w:r w:rsidRPr="00EC56B7">
        <w:t xml:space="preserve">% for senior personnel, </w:t>
      </w:r>
      <w:r w:rsidR="00F11AB3">
        <w:t>1</w:t>
      </w:r>
      <w:r w:rsidR="00250106">
        <w:t>9</w:t>
      </w:r>
      <w:r w:rsidRPr="00EC56B7">
        <w:t xml:space="preserve">% for postdoctoral associates, </w:t>
      </w:r>
      <w:r w:rsidR="00250106">
        <w:t>9.50</w:t>
      </w:r>
      <w:r w:rsidRPr="00EC56B7">
        <w:t>% for graduate research assistants and 0.</w:t>
      </w:r>
      <w:r w:rsidR="003551F6">
        <w:t>20</w:t>
      </w:r>
      <w:r w:rsidRPr="00EC56B7">
        <w:t xml:space="preserve">% for undergraduates. These benefits may include FICA, workmen's compensation, unemployment compensation, retirement, and life, dental, and health insurance.  The fringe benefits have been computed based on the negotiated University rates and assigned positions of project personnel.  </w:t>
      </w:r>
      <w:r w:rsidRPr="00CA433E">
        <w:t>https://ou.edu/research-norman/research-services/rates-and-reports</w:t>
      </w:r>
      <w:r w:rsidR="004E6655">
        <w:t>.</w:t>
      </w:r>
      <w:r w:rsidR="00641BBD" w:rsidRPr="00AA67C2">
        <w:t xml:space="preserve"> </w:t>
      </w:r>
      <w:r w:rsidR="00BA54A7" w:rsidRPr="00AA67C2">
        <w:t>The OU fiscal year is July 1 to June 30.  Project year may vary from fiscal year and normally consists of increments of 12 months from project start.</w:t>
      </w:r>
    </w:p>
    <w:p w14:paraId="4364EF61" w14:textId="77777777" w:rsidR="00FE7C85" w:rsidRPr="00AA67C2" w:rsidRDefault="00FE7C85" w:rsidP="00FE7C85"/>
    <w:bookmarkEnd w:id="1"/>
    <w:p w14:paraId="6D4EF460" w14:textId="77777777" w:rsidR="00AA2428" w:rsidRPr="00AA67C2" w:rsidRDefault="00AA2428" w:rsidP="00FE7C85">
      <w:r w:rsidRPr="00AA67C2">
        <w:t xml:space="preserve">A 3% cost of living increase is added to salaries in Years </w:t>
      </w:r>
      <w:r w:rsidRPr="00444234">
        <w:t>2 and 3.</w:t>
      </w:r>
    </w:p>
    <w:p w14:paraId="4075DF51" w14:textId="61C28FCA" w:rsidR="001E3EF1" w:rsidRPr="00AA67C2" w:rsidRDefault="001E3EF1" w:rsidP="00FE7C85"/>
    <w:p w14:paraId="7A01C018" w14:textId="286C6ADD" w:rsidR="001E3EF1" w:rsidRPr="00AA67C2" w:rsidRDefault="001E3EF1" w:rsidP="00FE7C85">
      <w:pPr>
        <w:pStyle w:val="Heading2"/>
      </w:pPr>
      <w:r w:rsidRPr="00AA67C2">
        <w:t xml:space="preserve">Equipment: </w:t>
      </w:r>
    </w:p>
    <w:p w14:paraId="18E3D76C" w14:textId="77CC0B0B" w:rsidR="001E3EF1" w:rsidRPr="00AA67C2" w:rsidRDefault="001E3EF1" w:rsidP="00FE7C85"/>
    <w:p w14:paraId="7D08A17A" w14:textId="77777777" w:rsidR="00641BBD" w:rsidRPr="00AA67C2" w:rsidRDefault="00641BBD" w:rsidP="00FE7C85"/>
    <w:p w14:paraId="050DBF50" w14:textId="29C81CE1" w:rsidR="001E3EF1" w:rsidRPr="00AA67C2" w:rsidRDefault="001E3EF1" w:rsidP="00FE7C85">
      <w:pPr>
        <w:pStyle w:val="Heading2"/>
      </w:pPr>
      <w:r w:rsidRPr="00AA67C2">
        <w:t>Travel:</w:t>
      </w:r>
    </w:p>
    <w:p w14:paraId="6CD6A4B8" w14:textId="099642FB" w:rsidR="00641BBD" w:rsidRPr="00AA67C2" w:rsidRDefault="00641BBD" w:rsidP="00FE7C85">
      <w:r w:rsidRPr="00AA67C2">
        <w:t>Funds for domestic travel for conference attendance to network and disseminate results estimated at $XXX</w:t>
      </w:r>
    </w:p>
    <w:p w14:paraId="649455BF" w14:textId="77777777" w:rsidR="00641BBD" w:rsidRPr="00AA67C2" w:rsidRDefault="00641BBD" w:rsidP="00FE7C85"/>
    <w:tbl>
      <w:tblPr>
        <w:tblStyle w:val="TableGrid"/>
        <w:tblW w:w="9445" w:type="dxa"/>
        <w:tblInd w:w="0" w:type="dxa"/>
        <w:tblLayout w:type="fixed"/>
        <w:tblCellMar>
          <w:left w:w="43" w:type="dxa"/>
          <w:right w:w="43" w:type="dxa"/>
        </w:tblCellMar>
        <w:tblLook w:val="00A0" w:firstRow="1" w:lastRow="0" w:firstColumn="1" w:lastColumn="0" w:noHBand="0" w:noVBand="0"/>
      </w:tblPr>
      <w:tblGrid>
        <w:gridCol w:w="1255"/>
        <w:gridCol w:w="990"/>
        <w:gridCol w:w="1710"/>
        <w:gridCol w:w="1440"/>
        <w:gridCol w:w="1440"/>
        <w:gridCol w:w="1530"/>
        <w:gridCol w:w="1080"/>
      </w:tblGrid>
      <w:tr w:rsidR="001E3EF1" w:rsidRPr="00AA67C2" w14:paraId="57E399FF" w14:textId="77777777" w:rsidTr="00676164">
        <w:trPr>
          <w:trHeight w:val="940"/>
        </w:trPr>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5603EC" w14:textId="244BBD89" w:rsidR="001E3EF1" w:rsidRPr="00AA67C2" w:rsidRDefault="00641BBD" w:rsidP="00676164">
            <w:pPr>
              <w:pStyle w:val="Body"/>
              <w:spacing w:before="60" w:after="60"/>
              <w:rPr>
                <w:rFonts w:ascii="Times New Roman" w:hAnsi="Times New Roman"/>
                <w:b/>
                <w:sz w:val="22"/>
                <w:szCs w:val="22"/>
              </w:rPr>
            </w:pPr>
            <w:r w:rsidRPr="00AA67C2">
              <w:rPr>
                <w:rFonts w:ascii="Times New Roman" w:hAnsi="Times New Roman"/>
                <w:b/>
                <w:sz w:val="22"/>
                <w:szCs w:val="22"/>
              </w:rPr>
              <w:t>Destination/Reason for Travel</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E12A63" w14:textId="77777777"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
                <w:sz w:val="22"/>
                <w:szCs w:val="22"/>
              </w:rPr>
              <w:t xml:space="preserve"># of travelers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23CD8A" w14:textId="77777777"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
                <w:sz w:val="22"/>
                <w:szCs w:val="22"/>
              </w:rPr>
              <w:t>Transportation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90FC1B" w14:textId="77777777"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
                <w:sz w:val="22"/>
                <w:szCs w:val="22"/>
              </w:rPr>
              <w:t xml:space="preserve">Per diem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244A88" w14:textId="77777777"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
                <w:sz w:val="22"/>
                <w:szCs w:val="22"/>
              </w:rPr>
              <w:t xml:space="preserve">Lodging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4C427C" w14:textId="77777777"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
                <w:sz w:val="22"/>
                <w:szCs w:val="22"/>
              </w:rPr>
              <w:t>Registration or other meeting costs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9F6B49" w14:textId="77777777"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
                <w:sz w:val="22"/>
                <w:szCs w:val="22"/>
              </w:rPr>
              <w:t>Total</w:t>
            </w:r>
          </w:p>
        </w:tc>
      </w:tr>
      <w:tr w:rsidR="001E3EF1" w:rsidRPr="00AA67C2" w14:paraId="4DB5E2CE" w14:textId="77777777" w:rsidTr="00676164">
        <w:trPr>
          <w:trHeight w:val="924"/>
        </w:trPr>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7BA9B" w14:textId="4A381223" w:rsidR="001E3EF1" w:rsidRPr="00AA67C2" w:rsidRDefault="001E3EF1" w:rsidP="00EE4EF4">
            <w:pPr>
              <w:pStyle w:val="Body"/>
              <w:spacing w:before="60" w:after="60"/>
              <w:rPr>
                <w:rFonts w:ascii="Times New Roman" w:hAnsi="Times New Roman"/>
                <w:b/>
                <w:sz w:val="22"/>
                <w:szCs w:val="22"/>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EA686" w14:textId="08B2F75B" w:rsidR="001E3EF1" w:rsidRPr="00AA67C2" w:rsidRDefault="001E3EF1" w:rsidP="00EE4EF4">
            <w:pPr>
              <w:pStyle w:val="Body"/>
              <w:spacing w:before="60" w:after="60"/>
              <w:jc w:val="center"/>
              <w:rPr>
                <w:rFonts w:ascii="Times New Roman" w:hAnsi="Times New Roman"/>
                <w:bCs/>
                <w:sz w:val="22"/>
                <w:szCs w:val="22"/>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D9F99" w14:textId="77777777" w:rsidR="00641BBD" w:rsidRPr="00AA67C2" w:rsidRDefault="00641BBD" w:rsidP="00EE4EF4">
            <w:pPr>
              <w:pStyle w:val="Body"/>
              <w:spacing w:before="60" w:after="60"/>
              <w:jc w:val="center"/>
              <w:rPr>
                <w:rFonts w:ascii="Times New Roman" w:hAnsi="Times New Roman"/>
                <w:bCs/>
                <w:sz w:val="22"/>
                <w:szCs w:val="22"/>
              </w:rPr>
            </w:pPr>
            <w:r w:rsidRPr="00AA67C2">
              <w:rPr>
                <w:rFonts w:ascii="Times New Roman" w:hAnsi="Times New Roman"/>
                <w:bCs/>
                <w:sz w:val="22"/>
                <w:szCs w:val="22"/>
              </w:rPr>
              <w:t>$X</w:t>
            </w:r>
          </w:p>
          <w:p w14:paraId="2CA730D5" w14:textId="23B1B947" w:rsidR="001E3EF1" w:rsidRPr="00AA67C2" w:rsidRDefault="00641BBD" w:rsidP="00EE4EF4">
            <w:pPr>
              <w:pStyle w:val="Body"/>
              <w:spacing w:before="60" w:after="60"/>
              <w:jc w:val="center"/>
              <w:rPr>
                <w:rFonts w:ascii="Times New Roman" w:hAnsi="Times New Roman"/>
                <w:b/>
                <w:sz w:val="22"/>
                <w:szCs w:val="22"/>
              </w:rPr>
            </w:pPr>
            <w:r w:rsidRPr="00AA67C2">
              <w:rPr>
                <w:rFonts w:ascii="Times New Roman" w:hAnsi="Times New Roman"/>
                <w:bCs/>
                <w:sz w:val="22"/>
                <w:szCs w:val="22"/>
              </w:rPr>
              <w:t xml:space="preserve">($X </w:t>
            </w:r>
            <w:r w:rsidR="001E3EF1" w:rsidRPr="00AA67C2">
              <w:rPr>
                <w:rFonts w:ascii="Times New Roman" w:hAnsi="Times New Roman"/>
                <w:bCs/>
                <w:sz w:val="22"/>
                <w:szCs w:val="22"/>
              </w:rPr>
              <w:t xml:space="preserve">airfare + </w:t>
            </w:r>
            <w:r w:rsidRPr="00AA67C2">
              <w:rPr>
                <w:rFonts w:ascii="Times New Roman" w:hAnsi="Times New Roman"/>
                <w:bCs/>
                <w:sz w:val="22"/>
                <w:szCs w:val="22"/>
              </w:rPr>
              <w:t xml:space="preserve">$X </w:t>
            </w:r>
            <w:r w:rsidR="001E3EF1" w:rsidRPr="00AA67C2">
              <w:rPr>
                <w:rFonts w:ascii="Times New Roman" w:hAnsi="Times New Roman"/>
                <w:bCs/>
                <w:sz w:val="22"/>
                <w:szCs w:val="22"/>
              </w:rPr>
              <w:t>local transport</w:t>
            </w:r>
            <w:r w:rsidRPr="00AA67C2">
              <w:rPr>
                <w:rFonts w:ascii="Times New Roman" w:hAnsi="Times New Roman"/>
                <w:bCs/>
                <w:sz w:val="22"/>
                <w:szCs w:val="22"/>
              </w:rPr>
              <w: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9202A" w14:textId="57FD2485" w:rsidR="001E3EF1" w:rsidRPr="00AA67C2" w:rsidRDefault="00641BBD" w:rsidP="00EE4EF4">
            <w:pPr>
              <w:pStyle w:val="Body"/>
              <w:spacing w:before="60" w:after="60"/>
              <w:jc w:val="center"/>
              <w:rPr>
                <w:rFonts w:ascii="Times New Roman" w:hAnsi="Times New Roman"/>
                <w:b/>
                <w:sz w:val="22"/>
                <w:szCs w:val="22"/>
              </w:rPr>
            </w:pPr>
            <w:r w:rsidRPr="00AA67C2">
              <w:rPr>
                <w:rFonts w:ascii="Times New Roman" w:hAnsi="Times New Roman"/>
                <w:bCs/>
                <w:sz w:val="22"/>
                <w:szCs w:val="22"/>
              </w:rPr>
              <w:t>$X</w:t>
            </w:r>
            <w:r w:rsidR="001E3EF1" w:rsidRPr="00AA67C2">
              <w:rPr>
                <w:rFonts w:ascii="Times New Roman" w:hAnsi="Times New Roman"/>
                <w:bCs/>
                <w:sz w:val="22"/>
                <w:szCs w:val="22"/>
              </w:rPr>
              <w:br/>
            </w:r>
            <w:r w:rsidRPr="00AA67C2">
              <w:rPr>
                <w:rFonts w:ascii="Times New Roman" w:hAnsi="Times New Roman"/>
                <w:bCs/>
                <w:sz w:val="22"/>
                <w:szCs w:val="22"/>
              </w:rPr>
              <w:t>(X</w:t>
            </w:r>
            <w:r w:rsidR="001E3EF1" w:rsidRPr="00AA67C2">
              <w:rPr>
                <w:rFonts w:ascii="Times New Roman" w:hAnsi="Times New Roman"/>
                <w:bCs/>
                <w:sz w:val="22"/>
                <w:szCs w:val="22"/>
              </w:rPr>
              <w:t xml:space="preserve"> days at $</w:t>
            </w:r>
            <w:r w:rsidRPr="00AA67C2">
              <w:rPr>
                <w:rFonts w:ascii="Times New Roman" w:hAnsi="Times New Roman"/>
                <w:bCs/>
                <w:sz w:val="22"/>
                <w:szCs w:val="22"/>
              </w:rPr>
              <w:t>X</w:t>
            </w:r>
            <w:r w:rsidR="001E3EF1" w:rsidRPr="00AA67C2">
              <w:rPr>
                <w:rFonts w:ascii="Times New Roman" w:hAnsi="Times New Roman"/>
                <w:bCs/>
                <w:sz w:val="22"/>
                <w:szCs w:val="22"/>
              </w:rPr>
              <w:t xml:space="preserve"> per day)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3BB5B" w14:textId="47FD469D"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Cs/>
                <w:sz w:val="22"/>
                <w:szCs w:val="22"/>
              </w:rPr>
              <w:t>$</w:t>
            </w:r>
            <w:r w:rsidR="00641BBD" w:rsidRPr="00AA67C2">
              <w:rPr>
                <w:rFonts w:ascii="Times New Roman" w:hAnsi="Times New Roman"/>
                <w:bCs/>
                <w:sz w:val="22"/>
                <w:szCs w:val="22"/>
              </w:rPr>
              <w:t>X</w:t>
            </w:r>
            <w:r w:rsidRPr="00AA67C2">
              <w:rPr>
                <w:rFonts w:ascii="Times New Roman" w:hAnsi="Times New Roman"/>
                <w:bCs/>
                <w:sz w:val="22"/>
                <w:szCs w:val="22"/>
              </w:rPr>
              <w:t xml:space="preserve"> </w:t>
            </w:r>
            <w:r w:rsidRPr="00AA67C2">
              <w:rPr>
                <w:rFonts w:ascii="Times New Roman" w:hAnsi="Times New Roman"/>
                <w:bCs/>
                <w:sz w:val="22"/>
                <w:szCs w:val="22"/>
              </w:rPr>
              <w:br/>
              <w:t>(</w:t>
            </w:r>
            <w:r w:rsidR="00641BBD" w:rsidRPr="00AA67C2">
              <w:rPr>
                <w:rFonts w:ascii="Times New Roman" w:hAnsi="Times New Roman"/>
                <w:bCs/>
                <w:sz w:val="22"/>
                <w:szCs w:val="22"/>
              </w:rPr>
              <w:t>X</w:t>
            </w:r>
            <w:r w:rsidRPr="00AA67C2">
              <w:rPr>
                <w:rFonts w:ascii="Times New Roman" w:hAnsi="Times New Roman"/>
                <w:bCs/>
                <w:sz w:val="22"/>
                <w:szCs w:val="22"/>
              </w:rPr>
              <w:t xml:space="preserve"> nights at $</w:t>
            </w:r>
            <w:r w:rsidR="00641BBD" w:rsidRPr="00AA67C2">
              <w:rPr>
                <w:rFonts w:ascii="Times New Roman" w:hAnsi="Times New Roman"/>
                <w:bCs/>
                <w:sz w:val="22"/>
                <w:szCs w:val="22"/>
              </w:rPr>
              <w:t>X</w:t>
            </w:r>
            <w:r w:rsidRPr="00AA67C2">
              <w:rPr>
                <w:rFonts w:ascii="Times New Roman" w:hAnsi="Times New Roman"/>
                <w:bCs/>
                <w:sz w:val="22"/>
                <w:szCs w:val="22"/>
              </w:rPr>
              <w:t xml:space="preserve"> per night)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D77290" w14:textId="1CD87A66"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Cs/>
                <w:sz w:val="22"/>
                <w:szCs w:val="22"/>
              </w:rPr>
              <w:t>$</w:t>
            </w:r>
            <w:r w:rsidR="00641BBD" w:rsidRPr="00AA67C2">
              <w:rPr>
                <w:rFonts w:ascii="Times New Roman" w:hAnsi="Times New Roman"/>
                <w:bCs/>
                <w:sz w:val="22"/>
                <w:szCs w:val="22"/>
              </w:rPr>
              <w:t>X</w:t>
            </w:r>
            <w:r w:rsidRPr="00AA67C2">
              <w:rPr>
                <w:rFonts w:ascii="Times New Roman" w:hAnsi="Times New Roman"/>
                <w:bCs/>
                <w:sz w:val="22"/>
                <w:szCs w:val="22"/>
              </w:rPr>
              <w:t>/person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52FCB8" w14:textId="22B5EB35" w:rsidR="001E3EF1" w:rsidRPr="00AA67C2" w:rsidRDefault="001E3EF1" w:rsidP="00EE4EF4">
            <w:pPr>
              <w:pStyle w:val="Body"/>
              <w:spacing w:before="60" w:after="60"/>
              <w:jc w:val="center"/>
              <w:rPr>
                <w:rFonts w:ascii="Times New Roman" w:hAnsi="Times New Roman"/>
                <w:b/>
                <w:sz w:val="22"/>
                <w:szCs w:val="22"/>
              </w:rPr>
            </w:pPr>
            <w:r w:rsidRPr="00AA67C2">
              <w:rPr>
                <w:rFonts w:ascii="Times New Roman" w:hAnsi="Times New Roman"/>
                <w:bCs/>
                <w:sz w:val="22"/>
                <w:szCs w:val="22"/>
              </w:rPr>
              <w:t>$</w:t>
            </w:r>
            <w:r w:rsidR="00641BBD" w:rsidRPr="00AA67C2">
              <w:rPr>
                <w:rFonts w:ascii="Times New Roman" w:hAnsi="Times New Roman"/>
                <w:bCs/>
                <w:sz w:val="22"/>
                <w:szCs w:val="22"/>
              </w:rPr>
              <w:t>XXX</w:t>
            </w:r>
            <w:r w:rsidRPr="00AA67C2">
              <w:rPr>
                <w:rFonts w:ascii="Times New Roman" w:hAnsi="Times New Roman"/>
                <w:bCs/>
                <w:sz w:val="22"/>
                <w:szCs w:val="22"/>
              </w:rPr>
              <w:t xml:space="preserve"> </w:t>
            </w:r>
          </w:p>
        </w:tc>
      </w:tr>
    </w:tbl>
    <w:p w14:paraId="69D0A9C4" w14:textId="4569BB15" w:rsidR="001E3EF1" w:rsidRPr="00AA67C2" w:rsidRDefault="001E3EF1" w:rsidP="00FE7C85"/>
    <w:p w14:paraId="5029422F" w14:textId="1F5F7224" w:rsidR="001E3EF1" w:rsidRPr="00AA67C2" w:rsidRDefault="001E3EF1" w:rsidP="00FE7C85">
      <w:r w:rsidRPr="00AA67C2">
        <w:t xml:space="preserve">Travel costs </w:t>
      </w:r>
      <w:r w:rsidR="005A06C8">
        <w:t xml:space="preserve">are </w:t>
      </w:r>
      <w:r w:rsidRPr="00AA67C2">
        <w:t xml:space="preserve">based on </w:t>
      </w:r>
      <w:r w:rsidR="005A06C8" w:rsidRPr="00AA67C2">
        <w:t xml:space="preserve">prior </w:t>
      </w:r>
      <w:r w:rsidRPr="00AA67C2">
        <w:t>PI experience</w:t>
      </w:r>
      <w:r w:rsidR="005A06C8">
        <w:t xml:space="preserve"> and</w:t>
      </w:r>
      <w:r w:rsidRPr="00AA67C2">
        <w:t xml:space="preserve"> will not exceed government established rates or state/institutional policies.</w:t>
      </w:r>
    </w:p>
    <w:p w14:paraId="043AE674" w14:textId="77777777" w:rsidR="001E3EF1" w:rsidRPr="00AA67C2" w:rsidRDefault="001E3EF1" w:rsidP="00FE7C85"/>
    <w:p w14:paraId="2FFC8018" w14:textId="77777777" w:rsidR="001E3EF1" w:rsidRPr="00AA67C2" w:rsidRDefault="001E3EF1" w:rsidP="00FE7C85">
      <w:pPr>
        <w:pStyle w:val="Heading2"/>
      </w:pPr>
      <w:r w:rsidRPr="00AA67C2">
        <w:t>Other Direct Costs</w:t>
      </w:r>
    </w:p>
    <w:p w14:paraId="0EBAD14F" w14:textId="3E0BC448" w:rsidR="001E3EF1" w:rsidRPr="00FE7C85" w:rsidRDefault="001E3EF1" w:rsidP="00FE7C85">
      <w:pPr>
        <w:pStyle w:val="Heading3"/>
      </w:pPr>
      <w:r w:rsidRPr="00FE7C85">
        <w:t xml:space="preserve">Materials and Supplies:  </w:t>
      </w:r>
    </w:p>
    <w:p w14:paraId="6902CC31" w14:textId="77777777" w:rsidR="00FE7C85" w:rsidRPr="00FE7C85" w:rsidRDefault="00FE7C85" w:rsidP="00FE7C85"/>
    <w:p w14:paraId="7C688D20" w14:textId="6475DD9D" w:rsidR="001E3EF1" w:rsidRDefault="001E3EF1" w:rsidP="00FE7C85">
      <w:pPr>
        <w:pStyle w:val="Heading3"/>
      </w:pPr>
      <w:r w:rsidRPr="00AA67C2">
        <w:t xml:space="preserve">Publication/Dissemination Costs:  </w:t>
      </w:r>
    </w:p>
    <w:p w14:paraId="2A7DC802" w14:textId="77777777" w:rsidR="00FE7C85" w:rsidRPr="00FE7C85" w:rsidRDefault="00FE7C85" w:rsidP="00FE7C85"/>
    <w:p w14:paraId="3B32AE6F" w14:textId="18C3B99D" w:rsidR="001E3EF1" w:rsidRDefault="001E3EF1" w:rsidP="00FE7C85">
      <w:pPr>
        <w:pStyle w:val="Heading3"/>
      </w:pPr>
      <w:r w:rsidRPr="00AA67C2">
        <w:t xml:space="preserve">Consultant Services:  </w:t>
      </w:r>
    </w:p>
    <w:p w14:paraId="5128C2AE" w14:textId="77777777" w:rsidR="00FE7C85" w:rsidRPr="00FE7C85" w:rsidRDefault="00FE7C85" w:rsidP="00FE7C85"/>
    <w:p w14:paraId="6BCB425D" w14:textId="27B46CE4" w:rsidR="001E3EF1" w:rsidRDefault="001E3EF1" w:rsidP="00FE7C85">
      <w:pPr>
        <w:pStyle w:val="Heading3"/>
      </w:pPr>
      <w:r w:rsidRPr="00AA67C2">
        <w:t xml:space="preserve">Computer/ADPE services:  </w:t>
      </w:r>
    </w:p>
    <w:p w14:paraId="4CB539BD" w14:textId="77777777" w:rsidR="00FE7C85" w:rsidRPr="00FE7C85" w:rsidRDefault="00FE7C85" w:rsidP="00FE7C85"/>
    <w:p w14:paraId="21A66B35" w14:textId="4FC22ACA" w:rsidR="001E3EF1" w:rsidRDefault="001E3EF1" w:rsidP="00FE7C85">
      <w:pPr>
        <w:pStyle w:val="Heading3"/>
      </w:pPr>
      <w:r w:rsidRPr="00AA67C2">
        <w:t xml:space="preserve">Subcontracts: </w:t>
      </w:r>
    </w:p>
    <w:p w14:paraId="255456A2" w14:textId="77777777" w:rsidR="00FE7C85" w:rsidRPr="00FE7C85" w:rsidRDefault="00FE7C85" w:rsidP="00FE7C85"/>
    <w:p w14:paraId="469D0A9A" w14:textId="77777777" w:rsidR="00FE7C85" w:rsidRDefault="001E3EF1" w:rsidP="00FE7C85">
      <w:pPr>
        <w:pStyle w:val="Heading3"/>
      </w:pPr>
      <w:r w:rsidRPr="00AA67C2">
        <w:lastRenderedPageBreak/>
        <w:t>Tuition Remission:</w:t>
      </w:r>
      <w:r w:rsidR="005A06C8">
        <w:t xml:space="preserve"> </w:t>
      </w:r>
      <w:bookmarkStart w:id="2" w:name="_Hlk146720165"/>
    </w:p>
    <w:p w14:paraId="208B75B2" w14:textId="3F9E4B50" w:rsidR="00BA54A7" w:rsidRDefault="00BA54A7" w:rsidP="00FE7C85">
      <w:r w:rsidRPr="00AA67C2">
        <w:t xml:space="preserve">The University of Oklahoma-Norman Campus direct charges tuition remission costs for graduate research assistants at a monthly rate per Graduate Student.  Our policy is available at: </w:t>
      </w:r>
      <w:r w:rsidR="00FE7C85" w:rsidRPr="00FE7C85">
        <w:t>https://www.ou.edu/research-norman/research-services/guidance/tuition-remission-practice</w:t>
      </w:r>
    </w:p>
    <w:bookmarkEnd w:id="2"/>
    <w:p w14:paraId="4567A8E8" w14:textId="77777777" w:rsidR="00FE7C85" w:rsidRDefault="00FE7C85" w:rsidP="00FE7C85">
      <w:pPr>
        <w:pStyle w:val="Heading3"/>
      </w:pPr>
    </w:p>
    <w:p w14:paraId="264E2C33" w14:textId="4CFA9D0C" w:rsidR="001E3EF1" w:rsidRPr="00AA67C2" w:rsidRDefault="001E3EF1" w:rsidP="00FE7C85">
      <w:pPr>
        <w:pStyle w:val="Heading3"/>
        <w:rPr>
          <w:color w:val="76923C" w:themeColor="accent3" w:themeShade="BF"/>
        </w:rPr>
      </w:pPr>
      <w:r w:rsidRPr="00AA67C2">
        <w:t xml:space="preserve">Other:  </w:t>
      </w:r>
    </w:p>
    <w:p w14:paraId="20027307" w14:textId="77777777" w:rsidR="001E3EF1" w:rsidRPr="00AA67C2" w:rsidRDefault="001E3EF1" w:rsidP="00FE7C85"/>
    <w:p w14:paraId="1903867F" w14:textId="77777777" w:rsidR="001E3EF1" w:rsidRPr="00AA67C2" w:rsidRDefault="001E3EF1" w:rsidP="00FE7C85">
      <w:pPr>
        <w:pStyle w:val="Heading2"/>
      </w:pPr>
      <w:r w:rsidRPr="00AA67C2">
        <w:t>Indirect Costs:</w:t>
      </w:r>
    </w:p>
    <w:p w14:paraId="48E8BA9A" w14:textId="27FD991E" w:rsidR="00BA54A7" w:rsidRPr="00FE7C85" w:rsidRDefault="00BA54A7" w:rsidP="00FE7C85">
      <w:bookmarkStart w:id="3" w:name="_Hlk505333183"/>
      <w:r w:rsidRPr="00FE7C85">
        <w:t xml:space="preserve">Indirect Costs (IDC) are calculated using the University’s current federal negotiated pre-determined rate for on-campus research which is 55% of modified total direct costs (MTDC) per agreement with DHHS dated </w:t>
      </w:r>
      <w:r w:rsidR="00F11AB3" w:rsidRPr="00FE7C85">
        <w:t>0</w:t>
      </w:r>
      <w:r w:rsidR="003551F6" w:rsidRPr="00FE7C85">
        <w:t>4/</w:t>
      </w:r>
      <w:r w:rsidR="00FC72BA" w:rsidRPr="00FE7C85">
        <w:t>02</w:t>
      </w:r>
      <w:r w:rsidR="003551F6" w:rsidRPr="00FE7C85">
        <w:t>/202</w:t>
      </w:r>
      <w:r w:rsidR="00FC72BA" w:rsidRPr="00FE7C85">
        <w:t>5</w:t>
      </w:r>
      <w:r w:rsidRPr="00FE7C85">
        <w:t xml:space="preserve">. The MTDC base excludes equipment costing $5,000 or more, tuition remission, and subaward amounts in excess of $25,000.   Indirect costs represent research support costs incurred by the University of Oklahoma. IDC expenses include the cost of laboratories and facilities usage, building maintenance, utilities, general grant administration and accounting, and other University services.  Cognizant agency &amp; contact: DHHS, </w:t>
      </w:r>
      <w:r w:rsidR="005A06C8" w:rsidRPr="00FE7C85">
        <w:t>Birol Hasan</w:t>
      </w:r>
      <w:r w:rsidRPr="00FE7C85">
        <w:t xml:space="preserve">, 214.767.3261.  URL:  </w:t>
      </w:r>
      <w:bookmarkStart w:id="4" w:name="_Hlk81551319"/>
      <w:r w:rsidR="00641BBD" w:rsidRPr="00FE7C85">
        <w:t>https://ou.edu/research-norman/research-services/rates-and-reports</w:t>
      </w:r>
    </w:p>
    <w:bookmarkEnd w:id="3"/>
    <w:bookmarkEnd w:id="4"/>
    <w:p w14:paraId="63469850" w14:textId="77777777" w:rsidR="001E3EF1" w:rsidRPr="00A1447A" w:rsidRDefault="001E3EF1" w:rsidP="00FE7C85"/>
    <w:sectPr w:rsidR="001E3EF1" w:rsidRPr="00A14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F1"/>
    <w:rsid w:val="0012238F"/>
    <w:rsid w:val="001E3EF1"/>
    <w:rsid w:val="00250106"/>
    <w:rsid w:val="0032230F"/>
    <w:rsid w:val="003551F6"/>
    <w:rsid w:val="00420E27"/>
    <w:rsid w:val="00444234"/>
    <w:rsid w:val="00467CE4"/>
    <w:rsid w:val="004E6655"/>
    <w:rsid w:val="005A06C8"/>
    <w:rsid w:val="00641BBD"/>
    <w:rsid w:val="00667F67"/>
    <w:rsid w:val="00676164"/>
    <w:rsid w:val="0070347B"/>
    <w:rsid w:val="00916885"/>
    <w:rsid w:val="00955902"/>
    <w:rsid w:val="00AA2428"/>
    <w:rsid w:val="00AA67C2"/>
    <w:rsid w:val="00BA54A7"/>
    <w:rsid w:val="00C95E83"/>
    <w:rsid w:val="00CA433E"/>
    <w:rsid w:val="00D247E6"/>
    <w:rsid w:val="00EA68B0"/>
    <w:rsid w:val="00EC56B7"/>
    <w:rsid w:val="00F105D9"/>
    <w:rsid w:val="00F11AB3"/>
    <w:rsid w:val="00F37661"/>
    <w:rsid w:val="00F61B4E"/>
    <w:rsid w:val="00FC72BA"/>
    <w:rsid w:val="00FE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A221"/>
  <w15:chartTrackingRefBased/>
  <w15:docId w15:val="{FE7A6EF8-EB52-4CCC-B378-A47CBABB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85"/>
    <w:pPr>
      <w:spacing w:after="0" w:line="240" w:lineRule="auto"/>
    </w:pPr>
    <w:rPr>
      <w:rFonts w:ascii="Times New Roman" w:eastAsiaTheme="minorEastAsia" w:hAnsi="Times New Roman" w:cs="Times New Roman"/>
      <w:lang w:eastAsia="zh-CN"/>
    </w:rPr>
  </w:style>
  <w:style w:type="paragraph" w:styleId="Heading1">
    <w:name w:val="heading 1"/>
    <w:basedOn w:val="Normal"/>
    <w:next w:val="Normal"/>
    <w:link w:val="Heading1Char"/>
    <w:uiPriority w:val="9"/>
    <w:qFormat/>
    <w:rsid w:val="00FE7C85"/>
    <w:pPr>
      <w:keepNext/>
      <w:keepLines/>
      <w:spacing w:before="240"/>
      <w:jc w:val="center"/>
      <w:outlineLvl w:val="0"/>
    </w:pPr>
    <w:rPr>
      <w:rFonts w:eastAsiaTheme="majorEastAsia"/>
      <w:sz w:val="28"/>
      <w:szCs w:val="28"/>
    </w:rPr>
  </w:style>
  <w:style w:type="paragraph" w:styleId="Heading2">
    <w:name w:val="heading 2"/>
    <w:basedOn w:val="Normal"/>
    <w:next w:val="Normal"/>
    <w:link w:val="Heading2Char"/>
    <w:uiPriority w:val="9"/>
    <w:unhideWhenUsed/>
    <w:qFormat/>
    <w:rsid w:val="00FE7C85"/>
    <w:pPr>
      <w:outlineLvl w:val="1"/>
    </w:pPr>
    <w:rPr>
      <w:b/>
      <w:u w:val="single"/>
    </w:rPr>
  </w:style>
  <w:style w:type="paragraph" w:styleId="Heading3">
    <w:name w:val="heading 3"/>
    <w:basedOn w:val="Normal"/>
    <w:next w:val="Normal"/>
    <w:link w:val="Heading3Char"/>
    <w:uiPriority w:val="9"/>
    <w:unhideWhenUsed/>
    <w:qFormat/>
    <w:rsid w:val="00FE7C85"/>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E3EF1"/>
    <w:rPr>
      <w:color w:val="0000FF"/>
      <w:u w:val="single"/>
    </w:rPr>
  </w:style>
  <w:style w:type="paragraph" w:customStyle="1" w:styleId="Body">
    <w:name w:val="Body"/>
    <w:rsid w:val="001E3EF1"/>
    <w:pPr>
      <w:spacing w:after="0" w:line="240" w:lineRule="auto"/>
    </w:pPr>
    <w:rPr>
      <w:rFonts w:ascii="Helvetica" w:eastAsia="ヒラギノ角ゴ Pro W3" w:hAnsi="Helvetica" w:cs="Times New Roman"/>
      <w:color w:val="000000"/>
      <w:sz w:val="24"/>
      <w:szCs w:val="20"/>
    </w:rPr>
  </w:style>
  <w:style w:type="table" w:styleId="TableGrid">
    <w:name w:val="Table Grid"/>
    <w:basedOn w:val="TableNormal"/>
    <w:rsid w:val="001E3EF1"/>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41BBD"/>
    <w:rPr>
      <w:color w:val="605E5C"/>
      <w:shd w:val="clear" w:color="auto" w:fill="E1DFDD"/>
    </w:rPr>
  </w:style>
  <w:style w:type="character" w:customStyle="1" w:styleId="Heading1Char">
    <w:name w:val="Heading 1 Char"/>
    <w:basedOn w:val="DefaultParagraphFont"/>
    <w:link w:val="Heading1"/>
    <w:uiPriority w:val="9"/>
    <w:rsid w:val="00FE7C85"/>
    <w:rPr>
      <w:rFonts w:ascii="Times New Roman" w:eastAsiaTheme="majorEastAsia" w:hAnsi="Times New Roman" w:cs="Times New Roman"/>
      <w:sz w:val="28"/>
      <w:szCs w:val="28"/>
      <w:lang w:eastAsia="zh-CN"/>
    </w:rPr>
  </w:style>
  <w:style w:type="character" w:customStyle="1" w:styleId="Heading2Char">
    <w:name w:val="Heading 2 Char"/>
    <w:basedOn w:val="DefaultParagraphFont"/>
    <w:link w:val="Heading2"/>
    <w:uiPriority w:val="9"/>
    <w:rsid w:val="00FE7C85"/>
    <w:rPr>
      <w:rFonts w:ascii="Times New Roman" w:eastAsiaTheme="minorEastAsia" w:hAnsi="Times New Roman" w:cs="Times New Roman"/>
      <w:b/>
      <w:u w:val="single"/>
      <w:lang w:eastAsia="zh-CN"/>
    </w:rPr>
  </w:style>
  <w:style w:type="character" w:customStyle="1" w:styleId="Heading3Char">
    <w:name w:val="Heading 3 Char"/>
    <w:basedOn w:val="DefaultParagraphFont"/>
    <w:link w:val="Heading3"/>
    <w:uiPriority w:val="9"/>
    <w:rsid w:val="00FE7C85"/>
    <w:rPr>
      <w:rFonts w:ascii="Times New Roman" w:eastAsiaTheme="minorEastAsia" w:hAnsi="Times New Roman" w:cs="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Template FY26</dc:title>
  <dc:subject/>
  <dc:creator>Bergman, Deborah L.</dc:creator>
  <cp:keywords/>
  <dc:description/>
  <cp:lastModifiedBy>Bergman, Deborah L.</cp:lastModifiedBy>
  <cp:revision>6</cp:revision>
  <dcterms:created xsi:type="dcterms:W3CDTF">2025-04-21T14:18:00Z</dcterms:created>
  <dcterms:modified xsi:type="dcterms:W3CDTF">2026-04-23T19:32:00Z</dcterms:modified>
</cp:coreProperties>
</file>